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94" w:rsidRDefault="00693494" w:rsidP="004007B7">
      <w:pPr>
        <w:rPr>
          <w:lang w:val="uz-Cyrl-UZ"/>
        </w:rPr>
      </w:pPr>
    </w:p>
    <w:tbl>
      <w:tblPr>
        <w:tblW w:w="5540" w:type="pct"/>
        <w:jc w:val="center"/>
        <w:tblInd w:w="-75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5"/>
        <w:gridCol w:w="434"/>
        <w:gridCol w:w="4529"/>
        <w:gridCol w:w="567"/>
        <w:gridCol w:w="1111"/>
        <w:gridCol w:w="322"/>
        <w:gridCol w:w="270"/>
        <w:gridCol w:w="1113"/>
        <w:gridCol w:w="712"/>
        <w:gridCol w:w="970"/>
      </w:tblGrid>
      <w:tr w:rsidR="00A14FC8" w:rsidTr="00A03A23">
        <w:trPr>
          <w:trHeight w:val="345"/>
          <w:jc w:val="center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Default="00A14FC8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82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815F4B" w:rsidRDefault="00A14FC8" w:rsidP="00C848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ED5716" w:rsidRPr="003D4277" w:rsidTr="00A03A23">
        <w:trPr>
          <w:trHeight w:val="278"/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Full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3D4277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sz w:val="22"/>
                <w:szCs w:val="22"/>
              </w:rPr>
              <w:t>Joint Stock Company "Kvarts"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Abbraviation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sz w:val="22"/>
                <w:szCs w:val="22"/>
              </w:rPr>
              <w:t xml:space="preserve"> </w:t>
            </w:r>
            <w:r w:rsidR="003D4277" w:rsidRPr="003D4277">
              <w:rPr>
                <w:sz w:val="22"/>
                <w:szCs w:val="22"/>
              </w:rPr>
              <w:t>JSC "Kvarts"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Name of stock tickers</w:t>
            </w:r>
            <w:r w:rsidRPr="003D4277">
              <w:rPr>
                <w:sz w:val="22"/>
                <w:szCs w:val="22"/>
              </w:rPr>
              <w:t xml:space="preserve"> </w:t>
            </w:r>
            <w:hyperlink r:id="rId8" w:anchor="2805931" w:history="1">
              <w:r w:rsidRPr="003D4277">
                <w:rPr>
                  <w:color w:val="008080"/>
                  <w:sz w:val="22"/>
                  <w:szCs w:val="22"/>
                </w:rPr>
                <w:t>*</w:t>
              </w:r>
            </w:hyperlink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A14FC8" w:rsidRPr="003D4277" w:rsidTr="00A03A23">
        <w:trPr>
          <w:trHeight w:val="330"/>
          <w:jc w:val="center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82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C84844">
            <w:pPr>
              <w:jc w:val="center"/>
            </w:pPr>
            <w:r w:rsidRPr="003D4277">
              <w:rPr>
                <w:b/>
                <w:bCs/>
                <w:sz w:val="22"/>
                <w:szCs w:val="22"/>
                <w:lang w:val="en-US"/>
              </w:rPr>
              <w:t>CONTACT INFORMATION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Location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60676B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>
              <w:rPr>
                <w:sz w:val="22"/>
                <w:szCs w:val="22"/>
                <w:lang w:val="en-US"/>
              </w:rPr>
              <w:t>Kuvasay</w:t>
            </w:r>
            <w:r w:rsidR="00ED5716" w:rsidRPr="003D4277">
              <w:rPr>
                <w:sz w:val="22"/>
                <w:szCs w:val="22"/>
              </w:rPr>
              <w:t xml:space="preserve"> </w:t>
            </w:r>
            <w:r w:rsidR="00ED5716" w:rsidRPr="003D4277">
              <w:rPr>
                <w:sz w:val="22"/>
                <w:szCs w:val="22"/>
                <w:lang w:val="en-US"/>
              </w:rPr>
              <w:t>city</w:t>
            </w:r>
            <w:r w:rsidR="00ED5716" w:rsidRPr="003D4277">
              <w:rPr>
                <w:sz w:val="22"/>
                <w:szCs w:val="22"/>
              </w:rPr>
              <w:t xml:space="preserve"> </w:t>
            </w:r>
            <w:r w:rsidR="00ED5716" w:rsidRPr="003D4277">
              <w:rPr>
                <w:sz w:val="22"/>
                <w:szCs w:val="22"/>
                <w:lang w:val="en-US"/>
              </w:rPr>
              <w:t>Ferghana</w:t>
            </w:r>
            <w:r w:rsidR="00ED5716" w:rsidRPr="003D4277">
              <w:rPr>
                <w:sz w:val="22"/>
                <w:szCs w:val="22"/>
              </w:rPr>
              <w:t xml:space="preserve"> </w:t>
            </w:r>
            <w:r w:rsidR="00ED5716" w:rsidRPr="003D4277">
              <w:rPr>
                <w:sz w:val="22"/>
                <w:szCs w:val="22"/>
                <w:lang w:val="en-US"/>
              </w:rPr>
              <w:t>region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Address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FF2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2a, Mustaqillik street, 150900</w:t>
            </w:r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e-mail</w:t>
            </w:r>
            <w:hyperlink r:id="rId9" w:anchor="2805931" w:history="1">
              <w:r w:rsidRPr="003D4277">
                <w:rPr>
                  <w:color w:val="008080"/>
                  <w:sz w:val="22"/>
                  <w:szCs w:val="22"/>
                </w:rPr>
                <w:t>*</w:t>
              </w:r>
            </w:hyperlink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176E5E" w:rsidP="00FF23AD">
            <w:pPr>
              <w:pStyle w:val="1"/>
              <w:jc w:val="center"/>
              <w:rPr>
                <w:lang w:val="ru-RU"/>
              </w:rPr>
            </w:pPr>
            <w:hyperlink r:id="rId10" w:history="1">
              <w:r w:rsidR="00ED5716" w:rsidRPr="003D4277">
                <w:rPr>
                  <w:rStyle w:val="a4"/>
                  <w:sz w:val="22"/>
                  <w:szCs w:val="22"/>
                </w:rPr>
                <w:t>qvartznew</w:t>
              </w:r>
              <w:r w:rsidR="00ED5716" w:rsidRPr="003D4277">
                <w:rPr>
                  <w:rStyle w:val="a4"/>
                  <w:sz w:val="22"/>
                  <w:szCs w:val="22"/>
                  <w:lang w:val="ru-RU"/>
                </w:rPr>
                <w:t>@</w:t>
              </w:r>
              <w:r w:rsidR="00ED5716" w:rsidRPr="003D4277">
                <w:rPr>
                  <w:rStyle w:val="a4"/>
                  <w:sz w:val="22"/>
                  <w:szCs w:val="22"/>
                </w:rPr>
                <w:t>mail</w:t>
              </w:r>
              <w:r w:rsidR="00ED5716" w:rsidRPr="003D4277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ED5716" w:rsidRPr="003D4277">
                <w:rPr>
                  <w:rStyle w:val="a4"/>
                  <w:sz w:val="22"/>
                  <w:szCs w:val="22"/>
                </w:rPr>
                <w:t>ru</w:t>
              </w:r>
            </w:hyperlink>
          </w:p>
        </w:tc>
      </w:tr>
      <w:tr w:rsidR="00ED5716" w:rsidRPr="003D4277" w:rsidTr="00A03A23">
        <w:trPr>
          <w:jc w:val="center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716" w:rsidRPr="003D4277" w:rsidRDefault="00ED571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ED5716" w:rsidP="00C84844">
            <w:r w:rsidRPr="003D4277">
              <w:rPr>
                <w:sz w:val="22"/>
                <w:szCs w:val="22"/>
                <w:lang w:val="en-US"/>
              </w:rPr>
              <w:t>Official web-site</w:t>
            </w:r>
            <w:r w:rsidRPr="003D4277">
              <w:rPr>
                <w:sz w:val="22"/>
                <w:szCs w:val="22"/>
              </w:rPr>
              <w:t xml:space="preserve"> </w:t>
            </w:r>
            <w:hyperlink r:id="rId11" w:anchor="2805931" w:history="1">
              <w:r w:rsidRPr="003D4277">
                <w:rPr>
                  <w:color w:val="008080"/>
                  <w:sz w:val="22"/>
                  <w:szCs w:val="22"/>
                </w:rPr>
                <w:t>*</w:t>
              </w:r>
            </w:hyperlink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716" w:rsidRPr="003D4277" w:rsidRDefault="00176E5E" w:rsidP="00FF23AD">
            <w:pPr>
              <w:pStyle w:val="1"/>
              <w:jc w:val="center"/>
              <w:rPr>
                <w:lang w:val="ru-RU"/>
              </w:rPr>
            </w:pPr>
            <w:hyperlink r:id="rId12" w:history="1">
              <w:r w:rsidR="00ED5716" w:rsidRPr="003D4277">
                <w:rPr>
                  <w:rStyle w:val="a4"/>
                  <w:sz w:val="22"/>
                  <w:szCs w:val="22"/>
                </w:rPr>
                <w:t>www.kvarts.uz</w:t>
              </w:r>
            </w:hyperlink>
          </w:p>
        </w:tc>
      </w:tr>
      <w:tr w:rsidR="00A14FC8" w:rsidRPr="003D4277" w:rsidTr="00A03A23">
        <w:trPr>
          <w:trHeight w:val="330"/>
          <w:jc w:val="center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.</w:t>
            </w:r>
          </w:p>
          <w:p w:rsidR="00A14FC8" w:rsidRPr="003D4277" w:rsidRDefault="00A14FC8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82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C84844">
            <w:pPr>
              <w:jc w:val="center"/>
            </w:pPr>
            <w:r w:rsidRPr="003D4277">
              <w:rPr>
                <w:b/>
                <w:bCs/>
                <w:sz w:val="22"/>
                <w:szCs w:val="22"/>
                <w:lang w:val="en-US"/>
              </w:rPr>
              <w:t>INFORMATION ON SIGNIFICANT FACTS</w:t>
            </w:r>
          </w:p>
        </w:tc>
      </w:tr>
      <w:tr w:rsidR="00A14FC8" w:rsidRPr="003D4277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4FC8" w:rsidRPr="003D4277" w:rsidRDefault="00A14FC8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4FC8" w:rsidRPr="003D4277" w:rsidRDefault="00A14FC8" w:rsidP="00C84844">
            <w:pPr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Reg. number of significant fact: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4FC8" w:rsidRPr="003D4277" w:rsidRDefault="00D45D05" w:rsidP="00C84844">
            <w:pPr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06</w:t>
            </w:r>
          </w:p>
        </w:tc>
      </w:tr>
      <w:tr w:rsidR="004C451A" w:rsidRPr="00275B0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51A" w:rsidRPr="003D4277" w:rsidRDefault="004C451A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51A" w:rsidRPr="003D4277" w:rsidRDefault="004C451A" w:rsidP="00C84844">
            <w:r w:rsidRPr="003D4277">
              <w:rPr>
                <w:sz w:val="22"/>
                <w:szCs w:val="22"/>
                <w:lang w:val="en-US"/>
              </w:rPr>
              <w:t>Title of significant fact</w:t>
            </w:r>
            <w:r w:rsidRPr="003D4277">
              <w:rPr>
                <w:sz w:val="22"/>
                <w:szCs w:val="22"/>
              </w:rPr>
              <w:t>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51A" w:rsidRPr="003D4277" w:rsidRDefault="00895798" w:rsidP="00895798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 xml:space="preserve">Decision, </w:t>
            </w:r>
            <w:r w:rsidR="004C451A" w:rsidRPr="003D4277">
              <w:rPr>
                <w:b/>
                <w:bCs/>
                <w:noProof/>
                <w:sz w:val="22"/>
                <w:szCs w:val="22"/>
                <w:lang w:val="en-US"/>
              </w:rPr>
              <w:t>made by higher management of issuer</w:t>
            </w:r>
          </w:p>
        </w:tc>
      </w:tr>
      <w:tr w:rsidR="004C451A" w:rsidRPr="003D4277" w:rsidTr="00A03A23">
        <w:trPr>
          <w:trHeight w:val="378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51A" w:rsidRPr="003D4277" w:rsidRDefault="004C451A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51A" w:rsidRPr="003D4277" w:rsidRDefault="004C451A" w:rsidP="00C84844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Type of general meeting: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51A" w:rsidRPr="003D4277" w:rsidRDefault="003641F9" w:rsidP="008957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5"/>
              <w:rPr>
                <w:noProof/>
                <w:lang w:val="en-US"/>
              </w:rPr>
            </w:pPr>
            <w:r w:rsidRPr="003641F9">
              <w:rPr>
                <w:noProof/>
                <w:sz w:val="22"/>
                <w:szCs w:val="22"/>
                <w:lang w:val="en-US"/>
              </w:rPr>
              <w:t>Extraordinary</w:t>
            </w:r>
          </w:p>
        </w:tc>
      </w:tr>
      <w:tr w:rsidR="007D54EE" w:rsidRPr="003D4277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ind w:left="198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General meeting arranged date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0A43AB" w:rsidP="000A43A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</w:rPr>
              <w:t>06</w:t>
            </w:r>
            <w:r w:rsidR="003D4277" w:rsidRPr="003D4277">
              <w:rPr>
                <w:noProof/>
                <w:sz w:val="22"/>
                <w:szCs w:val="22"/>
                <w:lang w:val="en-US"/>
              </w:rPr>
              <w:t>.</w:t>
            </w:r>
            <w:r w:rsidR="00A03A23">
              <w:rPr>
                <w:noProof/>
                <w:sz w:val="22"/>
                <w:szCs w:val="22"/>
                <w:lang w:val="en-US"/>
              </w:rPr>
              <w:t>0</w:t>
            </w:r>
            <w:r>
              <w:rPr>
                <w:noProof/>
                <w:sz w:val="22"/>
                <w:szCs w:val="22"/>
              </w:rPr>
              <w:t>3</w:t>
            </w:r>
            <w:r w:rsidR="007D54EE" w:rsidRPr="003D4277">
              <w:rPr>
                <w:noProof/>
                <w:sz w:val="22"/>
                <w:szCs w:val="22"/>
                <w:lang w:val="en-US"/>
              </w:rPr>
              <w:t>.20</w:t>
            </w:r>
            <w:r w:rsidR="00A03A23">
              <w:rPr>
                <w:noProof/>
                <w:sz w:val="22"/>
                <w:szCs w:val="22"/>
                <w:lang w:val="en-US"/>
              </w:rPr>
              <w:t>2</w:t>
            </w:r>
            <w:r>
              <w:rPr>
                <w:noProof/>
                <w:sz w:val="22"/>
                <w:szCs w:val="22"/>
              </w:rPr>
              <w:t>1</w:t>
            </w:r>
            <w:r w:rsidR="007D54EE" w:rsidRPr="003D4277">
              <w:rPr>
                <w:noProof/>
                <w:sz w:val="22"/>
                <w:szCs w:val="22"/>
                <w:lang w:val="en-US"/>
              </w:rPr>
              <w:t>.</w:t>
            </w:r>
          </w:p>
        </w:tc>
      </w:tr>
      <w:tr w:rsidR="007D54EE" w:rsidRPr="00665D7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7D54EE" w:rsidP="003E2833">
            <w:pPr>
              <w:ind w:left="198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Protocol making date: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275B0D" w:rsidP="000A43A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275B0D">
              <w:rPr>
                <w:noProof/>
                <w:sz w:val="22"/>
                <w:szCs w:val="22"/>
                <w:lang w:val="en-US"/>
              </w:rPr>
              <w:t>15</w:t>
            </w:r>
            <w:r w:rsidR="007D54EE" w:rsidRPr="00275B0D">
              <w:rPr>
                <w:noProof/>
                <w:sz w:val="22"/>
                <w:szCs w:val="22"/>
                <w:lang w:val="en-US"/>
              </w:rPr>
              <w:t>.</w:t>
            </w:r>
            <w:r w:rsidR="00665D7D" w:rsidRPr="00275B0D">
              <w:rPr>
                <w:noProof/>
                <w:sz w:val="22"/>
                <w:szCs w:val="22"/>
              </w:rPr>
              <w:t>03</w:t>
            </w:r>
            <w:r w:rsidR="007D54EE" w:rsidRPr="00275B0D">
              <w:rPr>
                <w:noProof/>
                <w:sz w:val="22"/>
                <w:szCs w:val="22"/>
                <w:lang w:val="en-US"/>
              </w:rPr>
              <w:t>.20</w:t>
            </w:r>
            <w:r w:rsidR="00A03A23" w:rsidRPr="00275B0D">
              <w:rPr>
                <w:noProof/>
                <w:sz w:val="22"/>
                <w:szCs w:val="22"/>
                <w:lang w:val="en-US"/>
              </w:rPr>
              <w:t>2</w:t>
            </w:r>
            <w:r w:rsidR="000A43AB" w:rsidRPr="00275B0D">
              <w:rPr>
                <w:noProof/>
                <w:sz w:val="22"/>
                <w:szCs w:val="22"/>
              </w:rPr>
              <w:t>1</w:t>
            </w:r>
            <w:r w:rsidR="007D54EE" w:rsidRPr="00275B0D">
              <w:rPr>
                <w:noProof/>
                <w:sz w:val="22"/>
                <w:szCs w:val="22"/>
                <w:lang w:val="en-US"/>
              </w:rPr>
              <w:t>.</w:t>
            </w:r>
          </w:p>
        </w:tc>
      </w:tr>
      <w:tr w:rsidR="007D54EE" w:rsidRPr="00275B0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ind w:left="198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Place of arranged general meeting:</w:t>
            </w:r>
          </w:p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3D4277" w:rsidRDefault="003D4277" w:rsidP="00332F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2</w:t>
            </w:r>
            <w:r w:rsidRPr="003D4277">
              <w:rPr>
                <w:sz w:val="22"/>
                <w:szCs w:val="22"/>
                <w:vertAlign w:val="superscript"/>
                <w:lang w:val="en-US"/>
              </w:rPr>
              <w:t>a</w:t>
            </w:r>
            <w:r w:rsidR="007D54EE" w:rsidRPr="003D4277">
              <w:rPr>
                <w:sz w:val="22"/>
                <w:szCs w:val="22"/>
                <w:lang w:val="en-US"/>
              </w:rPr>
              <w:t>, Mustaqillik street, Ferghana region, Uzbekistan</w:t>
            </w:r>
          </w:p>
        </w:tc>
      </w:tr>
      <w:tr w:rsidR="007D54EE" w:rsidRPr="00665D7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3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665D7D" w:rsidRDefault="007D54EE" w:rsidP="003E2833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Quorum:</w:t>
            </w:r>
          </w:p>
        </w:tc>
        <w:tc>
          <w:tcPr>
            <w:tcW w:w="147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4EE" w:rsidRPr="00665D7D" w:rsidRDefault="00A03A23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585741">
              <w:rPr>
                <w:sz w:val="22"/>
                <w:szCs w:val="22"/>
                <w:lang w:val="uz-Cyrl-UZ"/>
              </w:rPr>
              <w:t>89</w:t>
            </w:r>
            <w:r w:rsidRPr="00665D7D">
              <w:rPr>
                <w:sz w:val="22"/>
                <w:szCs w:val="22"/>
                <w:lang w:val="en-US"/>
              </w:rPr>
              <w:t>,</w:t>
            </w:r>
            <w:r w:rsidR="000A43AB">
              <w:rPr>
                <w:sz w:val="22"/>
                <w:szCs w:val="22"/>
                <w:lang w:val="uz-Cyrl-UZ"/>
              </w:rPr>
              <w:t>82</w:t>
            </w:r>
            <w:r w:rsidRPr="00665D7D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571B3F" w:rsidRPr="003D4277" w:rsidTr="000A43AB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665D7D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665D7D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665D7D">
              <w:rPr>
                <w:b/>
                <w:bCs/>
                <w:noProof/>
                <w:sz w:val="22"/>
                <w:szCs w:val="22"/>
                <w:lang w:val="en-US"/>
              </w:rPr>
              <w:t>N</w:t>
            </w:r>
          </w:p>
        </w:tc>
        <w:tc>
          <w:tcPr>
            <w:tcW w:w="2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3D4277" w:rsidRDefault="007D54EE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Issues</w:t>
            </w:r>
            <w:r w:rsidRPr="00665D7D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put</w:t>
            </w:r>
            <w:r w:rsidRPr="00665D7D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to</w:t>
            </w:r>
            <w:r w:rsidRPr="00665D7D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vote</w:t>
            </w:r>
          </w:p>
        </w:tc>
        <w:tc>
          <w:tcPr>
            <w:tcW w:w="243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3D4277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  <w:p w:rsidR="00FD1901" w:rsidRPr="003D4277" w:rsidRDefault="007D54EE" w:rsidP="00D55B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Vote results</w:t>
            </w:r>
            <w:r w:rsidRPr="003D4277">
              <w:rPr>
                <w:b/>
                <w:bCs/>
                <w:noProof/>
                <w:sz w:val="22"/>
                <w:szCs w:val="22"/>
              </w:rPr>
              <w:t xml:space="preserve">      </w:t>
            </w:r>
          </w:p>
        </w:tc>
      </w:tr>
      <w:tr w:rsidR="007D54EE" w:rsidRPr="003D4277" w:rsidTr="000A43AB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8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</w:rPr>
              <w:t xml:space="preserve">      </w:t>
            </w: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For</w:t>
            </w:r>
            <w:r w:rsidRPr="003D4277">
              <w:rPr>
                <w:b/>
                <w:bCs/>
                <w:noProof/>
                <w:sz w:val="22"/>
                <w:szCs w:val="22"/>
              </w:rPr>
              <w:t xml:space="preserve">    </w:t>
            </w:r>
          </w:p>
        </w:tc>
        <w:tc>
          <w:tcPr>
            <w:tcW w:w="8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Against</w:t>
            </w:r>
          </w:p>
        </w:tc>
        <w:tc>
          <w:tcPr>
            <w:tcW w:w="8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Abstentions</w:t>
            </w:r>
          </w:p>
        </w:tc>
      </w:tr>
      <w:tr w:rsidR="007D54EE" w:rsidRPr="003D4277" w:rsidTr="000A43AB">
        <w:trPr>
          <w:trHeight w:val="828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%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Amount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%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Amount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%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D54EE" w:rsidRPr="003D4277" w:rsidRDefault="007D54EE" w:rsidP="003E28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D4277">
              <w:rPr>
                <w:b/>
                <w:bCs/>
                <w:noProof/>
                <w:sz w:val="22"/>
                <w:szCs w:val="22"/>
                <w:lang w:val="en-US"/>
              </w:rPr>
              <w:t>Amount</w:t>
            </w:r>
          </w:p>
        </w:tc>
      </w:tr>
      <w:tr w:rsidR="00A03A23" w:rsidRPr="003D4277" w:rsidTr="000A43AB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3D4277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3D4277" w:rsidRDefault="00A03A23" w:rsidP="00705528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Adoption of the meeting rules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  <w:rPr>
                <w:highlight w:val="yellow"/>
                <w:lang w:val="uz-Cyrl-UZ"/>
              </w:rPr>
            </w:pPr>
            <w:r w:rsidRPr="003D4277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Default="00A03A23"/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</w:pPr>
            <w:r w:rsidRPr="003D4277">
              <w:rPr>
                <w:sz w:val="22"/>
                <w:szCs w:val="22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</w:pPr>
            <w:r w:rsidRPr="003D4277">
              <w:rPr>
                <w:sz w:val="22"/>
                <w:szCs w:val="22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</w:pPr>
            <w:r w:rsidRPr="003D4277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F76716">
            <w:pPr>
              <w:jc w:val="center"/>
            </w:pPr>
            <w:r w:rsidRPr="003D4277">
              <w:rPr>
                <w:sz w:val="22"/>
                <w:szCs w:val="22"/>
              </w:rPr>
              <w:t>0</w:t>
            </w:r>
          </w:p>
        </w:tc>
      </w:tr>
      <w:tr w:rsidR="00C4280F" w:rsidRPr="003D4277" w:rsidTr="000A43AB">
        <w:trPr>
          <w:trHeight w:val="1047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3D4277"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A8406C" w:rsidRDefault="00C4280F" w:rsidP="008B3C03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A8406C">
              <w:rPr>
                <w:noProof/>
                <w:lang w:val="en-US"/>
              </w:rPr>
              <w:t>Determination of audit organization for conducting a mandatory audit of the resu</w:t>
            </w:r>
            <w:r>
              <w:rPr>
                <w:noProof/>
                <w:lang w:val="en-US"/>
              </w:rPr>
              <w:t>lts of 20</w:t>
            </w:r>
            <w:r w:rsidRPr="000A43AB">
              <w:rPr>
                <w:noProof/>
                <w:lang w:val="en-US"/>
              </w:rPr>
              <w:t>20</w:t>
            </w:r>
            <w:r w:rsidRPr="00A8406C">
              <w:rPr>
                <w:noProof/>
                <w:lang w:val="en-US"/>
              </w:rPr>
              <w:t xml:space="preserve"> of JSC Kvarts, maximum payment for service and making an agreement.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643DF9">
            <w:pPr>
              <w:jc w:val="center"/>
              <w:rPr>
                <w:highlight w:val="yellow"/>
                <w:lang w:val="uz-Cyrl-UZ"/>
              </w:rPr>
            </w:pPr>
            <w:r w:rsidRPr="003D4277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Default="00C4280F">
            <w:pPr>
              <w:rPr>
                <w:lang w:val="uz-Cyrl-UZ"/>
              </w:rPr>
            </w:pPr>
          </w:p>
          <w:p w:rsidR="00C4280F" w:rsidRDefault="00C4280F">
            <w:pPr>
              <w:rPr>
                <w:lang w:val="uz-Cyrl-UZ"/>
              </w:rPr>
            </w:pPr>
          </w:p>
          <w:p w:rsidR="00C4280F" w:rsidRDefault="00C4280F">
            <w:r w:rsidRPr="00F43864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F76716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F76716">
            <w:pPr>
              <w:jc w:val="center"/>
              <w:rPr>
                <w:lang w:val="en-US"/>
              </w:rPr>
            </w:pPr>
            <w:r w:rsidRPr="003D427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F76716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F76716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</w:tr>
      <w:tr w:rsidR="00C4280F" w:rsidRPr="003D4277" w:rsidTr="000A43AB">
        <w:trPr>
          <w:trHeight w:val="660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lang w:val="en-US"/>
              </w:rPr>
            </w:pPr>
            <w:r w:rsidRPr="003D4277">
              <w:rPr>
                <w:bCs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A8406C" w:rsidRDefault="00C4280F" w:rsidP="009828CF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Approval of new organisational structure of Kvarts JSC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643DF9">
            <w:pPr>
              <w:jc w:val="center"/>
              <w:rPr>
                <w:lang w:val="uz-Cyrl-UZ"/>
              </w:rPr>
            </w:pPr>
            <w:r w:rsidRPr="003D4277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Default="00C4280F">
            <w:pPr>
              <w:rPr>
                <w:lang w:val="uz-Cyrl-UZ"/>
              </w:rPr>
            </w:pPr>
          </w:p>
          <w:p w:rsidR="00C4280F" w:rsidRDefault="00C4280F">
            <w:r w:rsidRPr="00F43864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7231C">
            <w:pPr>
              <w:jc w:val="center"/>
              <w:rPr>
                <w:lang w:val="en-US"/>
              </w:rPr>
            </w:pPr>
            <w:r w:rsidRPr="003D427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</w:tr>
      <w:tr w:rsidR="00C4280F" w:rsidRPr="00A03A23" w:rsidTr="000A43AB">
        <w:trPr>
          <w:trHeight w:val="597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895798" w:rsidRDefault="00C4280F" w:rsidP="00895798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  <w:lang w:val="en-US"/>
              </w:rPr>
            </w:pPr>
            <w:r w:rsidRPr="000A43AB">
              <w:rPr>
                <w:noProof/>
                <w:lang w:val="en-US"/>
              </w:rPr>
              <w:t xml:space="preserve">Determination of the maximum number of authorized shares of JSC </w:t>
            </w:r>
            <w:r>
              <w:rPr>
                <w:noProof/>
                <w:lang w:val="en-US"/>
              </w:rPr>
              <w:t>Kvarts</w:t>
            </w:r>
            <w:r w:rsidRPr="000A43AB">
              <w:rPr>
                <w:noProof/>
                <w:lang w:val="en-US"/>
              </w:rPr>
              <w:t>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A03A23" w:rsidRDefault="00C4280F" w:rsidP="00643DF9">
            <w:pPr>
              <w:jc w:val="center"/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Default="00C4280F">
            <w:pPr>
              <w:rPr>
                <w:lang w:val="uz-Cyrl-UZ"/>
              </w:rPr>
            </w:pPr>
          </w:p>
          <w:p w:rsidR="00C4280F" w:rsidRDefault="00C4280F">
            <w:r w:rsidRPr="00F43864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7231C">
            <w:pPr>
              <w:jc w:val="center"/>
              <w:rPr>
                <w:lang w:val="en-US"/>
              </w:rPr>
            </w:pPr>
            <w:r w:rsidRPr="003D427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7231C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</w:tr>
      <w:tr w:rsidR="00C4280F" w:rsidRPr="00A03A23" w:rsidTr="000A43AB">
        <w:trPr>
          <w:trHeight w:val="597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0A43AB" w:rsidRDefault="00C428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  <w:sz w:val="22"/>
                <w:szCs w:val="22"/>
              </w:rPr>
              <w:t>5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895798" w:rsidRDefault="00C4280F" w:rsidP="00895798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  <w:lang w:val="en-US"/>
              </w:rPr>
            </w:pPr>
            <w:r w:rsidRPr="000A43AB">
              <w:rPr>
                <w:noProof/>
                <w:lang w:val="en-US"/>
              </w:rPr>
              <w:t xml:space="preserve">On approval of the Charter of JSC </w:t>
            </w:r>
            <w:r>
              <w:rPr>
                <w:noProof/>
                <w:lang w:val="en-US"/>
              </w:rPr>
              <w:t>Kvarts</w:t>
            </w:r>
            <w:r w:rsidRPr="000A43AB">
              <w:rPr>
                <w:noProof/>
                <w:lang w:val="en-US"/>
              </w:rPr>
              <w:t xml:space="preserve"> in a new edition.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Default="00C4280F" w:rsidP="000A43AB">
            <w:pPr>
              <w:jc w:val="center"/>
            </w:pPr>
            <w:r w:rsidRPr="007E68B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Default="00C4280F">
            <w:r w:rsidRPr="00F43864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</w:tr>
      <w:tr w:rsidR="00C4280F" w:rsidRPr="00A03A23" w:rsidTr="000A43AB">
        <w:trPr>
          <w:trHeight w:val="597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0A43AB" w:rsidRDefault="00C428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  <w:sz w:val="22"/>
                <w:szCs w:val="22"/>
              </w:rPr>
              <w:t>6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895798" w:rsidRDefault="00C4280F" w:rsidP="00895798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  <w:lang w:val="en-US"/>
              </w:rPr>
            </w:pPr>
            <w:r w:rsidRPr="000A43AB">
              <w:rPr>
                <w:noProof/>
                <w:lang w:val="en-US"/>
              </w:rPr>
              <w:t xml:space="preserve">On the approval of the "Code of Corporate Ethics" of JSC </w:t>
            </w:r>
            <w:r>
              <w:rPr>
                <w:noProof/>
                <w:lang w:val="en-US"/>
              </w:rPr>
              <w:t>Kvarts</w:t>
            </w:r>
            <w:r w:rsidRPr="000A43AB">
              <w:rPr>
                <w:noProof/>
                <w:lang w:val="en-US"/>
              </w:rPr>
              <w:t xml:space="preserve"> and the Anti-Corruption Policy of JSC </w:t>
            </w:r>
            <w:r>
              <w:rPr>
                <w:noProof/>
                <w:lang w:val="en-US"/>
              </w:rPr>
              <w:t>Kvarts</w:t>
            </w:r>
            <w:r w:rsidRPr="000A43AB">
              <w:rPr>
                <w:noProof/>
                <w:lang w:val="en-US"/>
              </w:rPr>
              <w:t>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Default="00C4280F" w:rsidP="000A43AB">
            <w:pPr>
              <w:jc w:val="center"/>
            </w:pPr>
            <w:r w:rsidRPr="007E68B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Default="00C4280F">
            <w:r w:rsidRPr="00F43864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</w:tr>
      <w:tr w:rsidR="00C4280F" w:rsidRPr="00A03A23" w:rsidTr="000A43AB">
        <w:trPr>
          <w:trHeight w:val="597"/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0A43AB" w:rsidRDefault="00C428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  <w:sz w:val="22"/>
                <w:szCs w:val="22"/>
              </w:rPr>
              <w:t>7</w:t>
            </w:r>
          </w:p>
        </w:tc>
        <w:tc>
          <w:tcPr>
            <w:tcW w:w="2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895798" w:rsidRDefault="00C4280F" w:rsidP="00895798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  <w:lang w:val="en-US"/>
              </w:rPr>
            </w:pPr>
            <w:r w:rsidRPr="000A43AB">
              <w:rPr>
                <w:noProof/>
                <w:lang w:val="en-US"/>
              </w:rPr>
              <w:t xml:space="preserve">Introduction of amendments and additions to the Regulation on the Supervisory Board, Executive Body, Internal Control and Procedure in the event of a conflict of interests of JSC </w:t>
            </w:r>
            <w:r>
              <w:rPr>
                <w:noProof/>
                <w:lang w:val="en-US"/>
              </w:rPr>
              <w:t>Kvarts</w:t>
            </w:r>
            <w:r w:rsidRPr="000A43AB">
              <w:rPr>
                <w:noProof/>
                <w:lang w:val="en-US"/>
              </w:rPr>
              <w:t>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Default="00C4280F" w:rsidP="000A43AB">
            <w:pPr>
              <w:jc w:val="center"/>
            </w:pPr>
            <w:r w:rsidRPr="007E68B6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Default="00C4280F">
            <w:r w:rsidRPr="00F43864">
              <w:rPr>
                <w:sz w:val="22"/>
                <w:szCs w:val="22"/>
                <w:lang w:val="uz-Cyrl-UZ"/>
              </w:rPr>
              <w:t>86 629 151</w:t>
            </w:r>
          </w:p>
        </w:tc>
        <w:tc>
          <w:tcPr>
            <w:tcW w:w="2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446EC7">
            <w:pPr>
              <w:jc w:val="center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0</w:t>
            </w:r>
          </w:p>
        </w:tc>
      </w:tr>
      <w:tr w:rsidR="006115A6" w:rsidRPr="00275B0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15A6" w:rsidRPr="00A03A23" w:rsidRDefault="006115A6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482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5A6" w:rsidRPr="003D4277" w:rsidRDefault="006115A6" w:rsidP="00D36C09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lang w:val="en-US"/>
              </w:rPr>
            </w:pPr>
            <w:r w:rsidRPr="003D4277">
              <w:rPr>
                <w:noProof/>
                <w:sz w:val="22"/>
                <w:szCs w:val="22"/>
                <w:lang w:val="en-US"/>
              </w:rPr>
              <w:t>The full decisions made by the general meeting:</w:t>
            </w:r>
          </w:p>
        </w:tc>
      </w:tr>
      <w:tr w:rsidR="006115A6" w:rsidRPr="00275B0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15A6" w:rsidRPr="003D4277" w:rsidRDefault="006115A6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5A6" w:rsidRPr="003D4277" w:rsidRDefault="006115A6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43AB" w:rsidRPr="000A43AB" w:rsidRDefault="000A43AB" w:rsidP="008B3C0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0A43AB">
              <w:rPr>
                <w:noProof/>
                <w:lang w:val="en-US"/>
              </w:rPr>
              <w:t>To approve the rules of the meeting, allocating 15 minutes for the speech on the agenda, 10 minutes</w:t>
            </w:r>
            <w:r w:rsidR="00C4280F">
              <w:rPr>
                <w:noProof/>
                <w:lang w:val="en-US"/>
              </w:rPr>
              <w:t xml:space="preserve"> for questions and answers and </w:t>
            </w:r>
            <w:r w:rsidRPr="000A43AB">
              <w:rPr>
                <w:noProof/>
                <w:lang w:val="en-US"/>
              </w:rPr>
              <w:t>3</w:t>
            </w:r>
            <w:r w:rsidR="00C4280F" w:rsidRPr="00C4280F">
              <w:rPr>
                <w:noProof/>
                <w:lang w:val="en-US"/>
              </w:rPr>
              <w:t>0</w:t>
            </w:r>
            <w:r w:rsidRPr="000A43AB">
              <w:rPr>
                <w:noProof/>
                <w:lang w:val="en-US"/>
              </w:rPr>
              <w:t xml:space="preserve"> minutes for the work of the counting commission.</w:t>
            </w:r>
          </w:p>
        </w:tc>
      </w:tr>
      <w:tr w:rsidR="006115A6" w:rsidRPr="00275B0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15A6" w:rsidRPr="003D4277" w:rsidRDefault="006115A6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5A6" w:rsidRPr="003D4277" w:rsidRDefault="006115A6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15A6" w:rsidRPr="008B3C03" w:rsidRDefault="000A62B8" w:rsidP="00862722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0A62B8">
              <w:rPr>
                <w:noProof/>
                <w:lang w:val="en-US"/>
              </w:rPr>
              <w:t xml:space="preserve">1. To appoint Amulet-Audit LLC as the auditor of the company </w:t>
            </w:r>
            <w:r w:rsidR="008B3C03">
              <w:rPr>
                <w:noProof/>
                <w:lang w:val="en-US"/>
              </w:rPr>
              <w:t>providing</w:t>
            </w:r>
            <w:r w:rsidRPr="000A62B8">
              <w:rPr>
                <w:noProof/>
                <w:lang w:val="en-US"/>
              </w:rPr>
              <w:t xml:space="preserve"> mandatory audit of the </w:t>
            </w:r>
            <w:r w:rsidR="008B3C03">
              <w:rPr>
                <w:noProof/>
                <w:lang w:val="en-US"/>
              </w:rPr>
              <w:t>JSC Kvarts</w:t>
            </w:r>
            <w:r w:rsidRPr="000A62B8">
              <w:rPr>
                <w:noProof/>
                <w:lang w:val="en-US"/>
              </w:rPr>
              <w:t xml:space="preserve"> </w:t>
            </w:r>
            <w:r w:rsidR="008B3C03">
              <w:rPr>
                <w:noProof/>
                <w:lang w:val="en-US"/>
              </w:rPr>
              <w:t xml:space="preserve">according to </w:t>
            </w:r>
            <w:r w:rsidR="00C4280F">
              <w:rPr>
                <w:noProof/>
                <w:lang w:val="en-US"/>
              </w:rPr>
              <w:t>the results of 20</w:t>
            </w:r>
            <w:r w:rsidR="00C4280F" w:rsidRPr="00C4280F">
              <w:rPr>
                <w:noProof/>
                <w:lang w:val="en-US"/>
              </w:rPr>
              <w:t>20</w:t>
            </w:r>
            <w:r w:rsidRPr="000A62B8">
              <w:rPr>
                <w:noProof/>
                <w:lang w:val="en-US"/>
              </w:rPr>
              <w:t>.</w:t>
            </w:r>
          </w:p>
          <w:p w:rsidR="000A62B8" w:rsidRPr="008B3C03" w:rsidRDefault="008B3C03" w:rsidP="008B3C03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8B3C03">
              <w:rPr>
                <w:noProof/>
                <w:lang w:val="en-US"/>
              </w:rPr>
              <w:t>2. To set the maximum amount of payment for services of audit company "</w:t>
            </w:r>
            <w:r w:rsidR="00C4280F">
              <w:rPr>
                <w:noProof/>
                <w:lang w:val="en-US"/>
              </w:rPr>
              <w:t xml:space="preserve">Amulet-Audit" in the amount of </w:t>
            </w:r>
            <w:r w:rsidR="00C4280F" w:rsidRPr="00C4280F">
              <w:rPr>
                <w:noProof/>
                <w:lang w:val="en-US"/>
              </w:rPr>
              <w:t>8</w:t>
            </w:r>
            <w:r w:rsidRPr="008B3C03">
              <w:rPr>
                <w:noProof/>
                <w:lang w:val="en-US"/>
              </w:rPr>
              <w:t xml:space="preserve">0 000 000 soums and </w:t>
            </w:r>
            <w:r>
              <w:rPr>
                <w:noProof/>
                <w:lang w:val="en-US"/>
              </w:rPr>
              <w:t xml:space="preserve">to lay the responsibility to make a </w:t>
            </w:r>
            <w:r w:rsidRPr="008B3C03">
              <w:rPr>
                <w:noProof/>
                <w:lang w:val="en-US"/>
              </w:rPr>
              <w:t xml:space="preserve">contract with audit organization in the prescribed manner </w:t>
            </w:r>
            <w:r>
              <w:rPr>
                <w:noProof/>
                <w:lang w:val="en-US"/>
              </w:rPr>
              <w:t xml:space="preserve">to </w:t>
            </w:r>
            <w:r w:rsidRPr="008B3C03">
              <w:rPr>
                <w:noProof/>
                <w:lang w:val="en-US"/>
              </w:rPr>
              <w:t xml:space="preserve">the Executive body of JSC </w:t>
            </w:r>
            <w:r>
              <w:rPr>
                <w:noProof/>
                <w:lang w:val="en-US"/>
              </w:rPr>
              <w:t>Kv</w:t>
            </w:r>
            <w:r w:rsidRPr="008B3C03">
              <w:rPr>
                <w:noProof/>
                <w:lang w:val="en-US"/>
              </w:rPr>
              <w:t>art</w:t>
            </w:r>
            <w:r>
              <w:rPr>
                <w:noProof/>
                <w:lang w:val="en-US"/>
              </w:rPr>
              <w:t>s</w:t>
            </w:r>
            <w:r w:rsidRPr="008B3C03">
              <w:rPr>
                <w:noProof/>
                <w:lang w:val="en-US"/>
              </w:rPr>
              <w:t>.</w:t>
            </w:r>
          </w:p>
        </w:tc>
      </w:tr>
      <w:tr w:rsidR="00862722" w:rsidRPr="00275B0D" w:rsidTr="00A03A23">
        <w:trPr>
          <w:jc w:val="center"/>
        </w:trPr>
        <w:tc>
          <w:tcPr>
            <w:tcW w:w="17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2722" w:rsidRPr="003D4277" w:rsidRDefault="00862722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722" w:rsidRPr="003D4277" w:rsidRDefault="00862722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D4277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722" w:rsidRPr="00862722" w:rsidRDefault="008B3C03" w:rsidP="00C4280F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</w:t>
            </w:r>
            <w:r w:rsidR="00C4280F" w:rsidRPr="00862722">
              <w:rPr>
                <w:noProof/>
                <w:lang w:val="en-US"/>
              </w:rPr>
              <w:t>To approve the new organisational structure of Kvarts JSC Appendix 1</w:t>
            </w:r>
          </w:p>
        </w:tc>
      </w:tr>
      <w:tr w:rsidR="00A03A23" w:rsidRPr="00275B0D" w:rsidTr="00A03A23">
        <w:trPr>
          <w:jc w:val="center"/>
        </w:trPr>
        <w:tc>
          <w:tcPr>
            <w:tcW w:w="171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3A23" w:rsidRPr="003D4277" w:rsidRDefault="00A03A23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A03A23" w:rsidRDefault="00A03A23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3A23" w:rsidRPr="00862722" w:rsidRDefault="00C4280F" w:rsidP="00862722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C4280F">
              <w:rPr>
                <w:noProof/>
                <w:lang w:val="en-US"/>
              </w:rPr>
              <w:t xml:space="preserve">Determine the authorized shares of </w:t>
            </w:r>
            <w:r w:rsidRPr="00862722">
              <w:rPr>
                <w:noProof/>
                <w:lang w:val="en-US"/>
              </w:rPr>
              <w:t>Kvarts</w:t>
            </w:r>
            <w:r w:rsidRPr="00C4280F">
              <w:rPr>
                <w:noProof/>
                <w:lang w:val="en-US"/>
              </w:rPr>
              <w:t xml:space="preserve"> JSC with the maximum number of ordinary shares of </w:t>
            </w:r>
            <w:r w:rsidRPr="00C4280F">
              <w:rPr>
                <w:noProof/>
                <w:lang w:val="en-US"/>
              </w:rPr>
              <w:lastRenderedPageBreak/>
              <w:t>96,449,218 pieces in the amount of 165,410,408,870 soums.</w:t>
            </w:r>
          </w:p>
        </w:tc>
      </w:tr>
      <w:tr w:rsidR="00C4280F" w:rsidRPr="00275B0D" w:rsidTr="00A03A23">
        <w:trPr>
          <w:jc w:val="center"/>
        </w:trPr>
        <w:tc>
          <w:tcPr>
            <w:tcW w:w="171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C4280F" w:rsidRDefault="00C428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862722" w:rsidRDefault="00C4280F" w:rsidP="00862722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C4280F">
              <w:rPr>
                <w:noProof/>
                <w:lang w:val="en-US"/>
              </w:rPr>
              <w:t xml:space="preserve">To approve the Charter of JSC </w:t>
            </w:r>
            <w:r>
              <w:rPr>
                <w:noProof/>
                <w:lang w:val="en-US"/>
              </w:rPr>
              <w:t>Kvarts</w:t>
            </w:r>
            <w:r w:rsidRPr="00C4280F">
              <w:rPr>
                <w:noProof/>
                <w:lang w:val="en-US"/>
              </w:rPr>
              <w:t xml:space="preserve"> in the new edition in accordance with Appendix 2.</w:t>
            </w:r>
          </w:p>
        </w:tc>
      </w:tr>
      <w:tr w:rsidR="00C4280F" w:rsidRPr="00275B0D" w:rsidTr="00A03A23">
        <w:trPr>
          <w:jc w:val="center"/>
        </w:trPr>
        <w:tc>
          <w:tcPr>
            <w:tcW w:w="171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C4280F" w:rsidRDefault="00C428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862722" w:rsidRDefault="00C4280F" w:rsidP="00862722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C4280F">
              <w:rPr>
                <w:noProof/>
                <w:lang w:val="en-US"/>
              </w:rPr>
              <w:t xml:space="preserve">To approve the Code of Corporate Ethics of JSC </w:t>
            </w:r>
            <w:r>
              <w:rPr>
                <w:noProof/>
                <w:lang w:val="en-US"/>
              </w:rPr>
              <w:t>Kvarts</w:t>
            </w:r>
            <w:r w:rsidRPr="00C4280F">
              <w:rPr>
                <w:noProof/>
                <w:lang w:val="en-US"/>
              </w:rPr>
              <w:t xml:space="preserve"> and the Anti-Corruption Policy of JSC </w:t>
            </w:r>
            <w:r>
              <w:rPr>
                <w:noProof/>
                <w:lang w:val="en-US"/>
              </w:rPr>
              <w:t>Kvarts</w:t>
            </w:r>
            <w:r w:rsidRPr="00C4280F">
              <w:rPr>
                <w:noProof/>
                <w:lang w:val="en-US"/>
              </w:rPr>
              <w:t xml:space="preserve"> in accordance with Appendices 3-4.</w:t>
            </w:r>
          </w:p>
        </w:tc>
      </w:tr>
      <w:tr w:rsidR="00C4280F" w:rsidRPr="00275B0D" w:rsidTr="00A03A23">
        <w:trPr>
          <w:jc w:val="center"/>
        </w:trPr>
        <w:tc>
          <w:tcPr>
            <w:tcW w:w="171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280F" w:rsidRPr="003D4277" w:rsidRDefault="00C4280F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C4280F" w:rsidRDefault="00C4280F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46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280F" w:rsidRPr="00862722" w:rsidRDefault="00C4280F" w:rsidP="00862722">
            <w:pPr>
              <w:widowControl w:val="0"/>
              <w:autoSpaceDE w:val="0"/>
              <w:autoSpaceDN w:val="0"/>
              <w:adjustRightInd w:val="0"/>
              <w:ind w:right="145"/>
              <w:jc w:val="both"/>
              <w:rPr>
                <w:noProof/>
                <w:lang w:val="en-US"/>
              </w:rPr>
            </w:pPr>
            <w:r w:rsidRPr="00C4280F">
              <w:rPr>
                <w:noProof/>
                <w:lang w:val="en-US"/>
              </w:rPr>
              <w:t xml:space="preserve">To approve amendments and additions to the Regulations “On the Supervisory Board”, “On the executive body”, “On internal control”, “On the procedure for actions in the event of a conflict of interest” of JSC </w:t>
            </w:r>
            <w:r w:rsidR="00F9032B">
              <w:rPr>
                <w:noProof/>
                <w:lang w:val="en-US"/>
              </w:rPr>
              <w:t>Kvarts</w:t>
            </w:r>
            <w:r w:rsidR="00F9032B" w:rsidRPr="00C4280F">
              <w:rPr>
                <w:noProof/>
                <w:lang w:val="en-US"/>
              </w:rPr>
              <w:t xml:space="preserve"> </w:t>
            </w:r>
            <w:r w:rsidRPr="00C4280F">
              <w:rPr>
                <w:noProof/>
                <w:lang w:val="en-US"/>
              </w:rPr>
              <w:t>in accordance with Appendices 5-6-7-8.</w:t>
            </w:r>
          </w:p>
        </w:tc>
      </w:tr>
    </w:tbl>
    <w:p w:rsidR="00F40779" w:rsidRPr="003D4277" w:rsidRDefault="00F40779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  <w:lang w:val="en-US"/>
        </w:rPr>
      </w:pPr>
    </w:p>
    <w:tbl>
      <w:tblPr>
        <w:tblW w:w="5022" w:type="pct"/>
        <w:tblInd w:w="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6001"/>
        <w:gridCol w:w="3440"/>
      </w:tblGrid>
      <w:tr w:rsidR="00F40779" w:rsidRPr="003D4277" w:rsidTr="003E2833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3D4277" w:rsidRDefault="00F40779" w:rsidP="00692A5A">
            <w:pPr>
              <w:ind w:left="260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Fu</w:t>
            </w:r>
            <w:r w:rsidR="00862722">
              <w:rPr>
                <w:sz w:val="22"/>
                <w:szCs w:val="22"/>
                <w:lang w:val="en-US"/>
              </w:rPr>
              <w:t xml:space="preserve">ll Name of </w:t>
            </w:r>
            <w:r w:rsidR="00460060">
              <w:rPr>
                <w:sz w:val="22"/>
                <w:szCs w:val="22"/>
                <w:lang w:val="en-US"/>
              </w:rPr>
              <w:t>the Head of the Board</w:t>
            </w:r>
            <w:r w:rsidRPr="003D4277">
              <w:rPr>
                <w:sz w:val="22"/>
                <w:szCs w:val="22"/>
                <w:lang w:val="en-US"/>
              </w:rPr>
              <w:t>:</w:t>
            </w:r>
          </w:p>
          <w:p w:rsidR="00F40779" w:rsidRPr="003D4277" w:rsidRDefault="00F40779" w:rsidP="00692A5A">
            <w:pPr>
              <w:rPr>
                <w:lang w:val="en-US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3D4277" w:rsidRDefault="00A03A23" w:rsidP="00692A5A">
            <w:pPr>
              <w:rPr>
                <w:lang w:val="en-US"/>
              </w:rPr>
            </w:pPr>
            <w:r w:rsidRPr="00A03A23">
              <w:rPr>
                <w:sz w:val="22"/>
                <w:szCs w:val="22"/>
                <w:lang w:val="en-US"/>
              </w:rPr>
              <w:t xml:space="preserve">Buriev Akmal Ibragimovich </w:t>
            </w:r>
            <w:r w:rsidR="00F40779" w:rsidRPr="003D4277">
              <w:rPr>
                <w:sz w:val="22"/>
                <w:szCs w:val="22"/>
                <w:lang w:val="en-US"/>
              </w:rPr>
              <w:t>‎‎‎</w:t>
            </w:r>
          </w:p>
        </w:tc>
      </w:tr>
      <w:tr w:rsidR="00F40779" w:rsidRPr="003D4277" w:rsidTr="003E2833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3D4277" w:rsidRDefault="00F40779" w:rsidP="00692A5A">
            <w:pPr>
              <w:rPr>
                <w:lang w:val="uz-Cyrl-UZ"/>
              </w:rPr>
            </w:pPr>
          </w:p>
          <w:p w:rsidR="00F40779" w:rsidRPr="003D4277" w:rsidRDefault="00F40779" w:rsidP="00692A5A">
            <w:pPr>
              <w:ind w:left="260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 xml:space="preserve">Full Name of </w:t>
            </w:r>
            <w:r w:rsidR="00460060">
              <w:rPr>
                <w:sz w:val="22"/>
                <w:szCs w:val="22"/>
                <w:lang w:val="en-US"/>
              </w:rPr>
              <w:t>chief</w:t>
            </w:r>
            <w:r w:rsidRPr="003D4277">
              <w:rPr>
                <w:sz w:val="22"/>
                <w:szCs w:val="22"/>
                <w:lang w:val="en-US"/>
              </w:rPr>
              <w:t xml:space="preserve"> accountant:</w:t>
            </w:r>
          </w:p>
          <w:p w:rsidR="00F40779" w:rsidRPr="003D4277" w:rsidRDefault="00F40779" w:rsidP="00692A5A">
            <w:pPr>
              <w:rPr>
                <w:lang w:val="en-US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40779" w:rsidRPr="003D4277" w:rsidRDefault="00F40779" w:rsidP="00692A5A">
            <w:pPr>
              <w:rPr>
                <w:lang w:val="uz-Cyrl-UZ"/>
              </w:rPr>
            </w:pPr>
          </w:p>
          <w:p w:rsidR="00F40779" w:rsidRPr="003D4277" w:rsidRDefault="00F9032B" w:rsidP="00B154A5">
            <w:pPr>
              <w:rPr>
                <w:lang w:val="en-US"/>
              </w:rPr>
            </w:pPr>
            <w:r w:rsidRPr="00F9032B">
              <w:rPr>
                <w:sz w:val="22"/>
                <w:szCs w:val="22"/>
                <w:lang w:val="en-US"/>
              </w:rPr>
              <w:t>Tursunov Kodirjon</w:t>
            </w:r>
          </w:p>
        </w:tc>
      </w:tr>
      <w:tr w:rsidR="00F40779" w:rsidRPr="003D4277" w:rsidTr="003E2833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92A5A" w:rsidRPr="003D4277" w:rsidRDefault="00692A5A" w:rsidP="00692A5A">
            <w:pPr>
              <w:ind w:left="260"/>
              <w:rPr>
                <w:lang w:val="uz-Cyrl-UZ"/>
              </w:rPr>
            </w:pPr>
            <w:r w:rsidRPr="003D4277">
              <w:rPr>
                <w:sz w:val="22"/>
                <w:szCs w:val="22"/>
                <w:lang w:val="en-US"/>
              </w:rPr>
              <w:t>Full Name of Authorized person who posted</w:t>
            </w:r>
          </w:p>
          <w:p w:rsidR="00692A5A" w:rsidRPr="003D4277" w:rsidRDefault="00692A5A" w:rsidP="00692A5A">
            <w:pPr>
              <w:ind w:left="260"/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 xml:space="preserve"> information on the</w:t>
            </w:r>
            <w:r w:rsidRPr="003D4277">
              <w:rPr>
                <w:sz w:val="22"/>
                <w:szCs w:val="22"/>
                <w:lang w:val="uz-Cyrl-UZ"/>
              </w:rPr>
              <w:t xml:space="preserve"> </w:t>
            </w:r>
            <w:r w:rsidRPr="003D4277">
              <w:rPr>
                <w:sz w:val="22"/>
                <w:szCs w:val="22"/>
                <w:lang w:val="en-US"/>
              </w:rPr>
              <w:t>website:</w:t>
            </w:r>
          </w:p>
          <w:p w:rsidR="00F40779" w:rsidRPr="003D4277" w:rsidRDefault="00692A5A" w:rsidP="00692A5A">
            <w:pPr>
              <w:rPr>
                <w:lang w:val="uz-Cyrl-UZ"/>
              </w:rPr>
            </w:pPr>
            <w:r w:rsidRPr="003D4277">
              <w:rPr>
                <w:sz w:val="22"/>
                <w:szCs w:val="22"/>
                <w:lang w:val="en-US"/>
              </w:rPr>
              <w:br w:type="column"/>
            </w:r>
          </w:p>
          <w:p w:rsidR="00F40779" w:rsidRPr="003D4277" w:rsidRDefault="00F40779" w:rsidP="00692A5A">
            <w:pPr>
              <w:rPr>
                <w:lang w:val="en-US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692A5A" w:rsidRPr="003D4277" w:rsidRDefault="00692A5A" w:rsidP="00692A5A">
            <w:pPr>
              <w:rPr>
                <w:lang w:val="en-US"/>
              </w:rPr>
            </w:pPr>
            <w:r w:rsidRPr="003D4277">
              <w:rPr>
                <w:sz w:val="22"/>
                <w:szCs w:val="22"/>
                <w:lang w:val="en-US"/>
              </w:rPr>
              <w:t>Mamadjanov Gulomdjon Rakhmatovich</w:t>
            </w:r>
          </w:p>
          <w:p w:rsidR="00F40779" w:rsidRPr="003D4277" w:rsidRDefault="00F40779" w:rsidP="00692A5A">
            <w:pPr>
              <w:rPr>
                <w:noProof/>
                <w:lang w:val="en-US"/>
              </w:rPr>
            </w:pPr>
          </w:p>
          <w:p w:rsidR="00F40779" w:rsidRPr="003D4277" w:rsidRDefault="00F40779" w:rsidP="00692A5A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4007B7" w:rsidRPr="00F40779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uz-Cyrl-UZ"/>
        </w:rPr>
      </w:pPr>
    </w:p>
    <w:sectPr w:rsidR="004007B7" w:rsidRPr="00F40779" w:rsidSect="00FD190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696" w:rsidRDefault="00EF4696" w:rsidP="00CD5114">
      <w:r>
        <w:separator/>
      </w:r>
    </w:p>
  </w:endnote>
  <w:endnote w:type="continuationSeparator" w:id="0">
    <w:p w:rsidR="00EF4696" w:rsidRDefault="00EF4696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696" w:rsidRDefault="00EF4696" w:rsidP="00CD5114">
      <w:r>
        <w:separator/>
      </w:r>
    </w:p>
  </w:footnote>
  <w:footnote w:type="continuationSeparator" w:id="0">
    <w:p w:rsidR="00EF4696" w:rsidRDefault="00EF4696" w:rsidP="00CD5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1271"/>
    <w:multiLevelType w:val="hybridMultilevel"/>
    <w:tmpl w:val="0368E4A4"/>
    <w:lvl w:ilvl="0" w:tplc="7496086A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751D1"/>
    <w:multiLevelType w:val="hybridMultilevel"/>
    <w:tmpl w:val="54804A64"/>
    <w:lvl w:ilvl="0" w:tplc="6936A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A69F4"/>
    <w:multiLevelType w:val="hybridMultilevel"/>
    <w:tmpl w:val="7FC2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5F63DA"/>
    <w:multiLevelType w:val="hybridMultilevel"/>
    <w:tmpl w:val="0E9A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250F5"/>
    <w:multiLevelType w:val="hybridMultilevel"/>
    <w:tmpl w:val="7798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D7B3E"/>
    <w:multiLevelType w:val="hybridMultilevel"/>
    <w:tmpl w:val="7166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9"/>
  </w:num>
  <w:num w:numId="5">
    <w:abstractNumId w:val="4"/>
  </w:num>
  <w:num w:numId="6">
    <w:abstractNumId w:val="14"/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2"/>
  </w:num>
  <w:num w:numId="14">
    <w:abstractNumId w:val="13"/>
  </w:num>
  <w:num w:numId="15">
    <w:abstractNumId w:val="7"/>
  </w:num>
  <w:num w:numId="16">
    <w:abstractNumId w:val="16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33482"/>
    <w:rsid w:val="00046F39"/>
    <w:rsid w:val="000663CD"/>
    <w:rsid w:val="00067B11"/>
    <w:rsid w:val="000705A8"/>
    <w:rsid w:val="000A43AB"/>
    <w:rsid w:val="000A62B8"/>
    <w:rsid w:val="000B76CC"/>
    <w:rsid w:val="000C6966"/>
    <w:rsid w:val="000F0F51"/>
    <w:rsid w:val="00101943"/>
    <w:rsid w:val="00121B7D"/>
    <w:rsid w:val="00126745"/>
    <w:rsid w:val="00130F73"/>
    <w:rsid w:val="00143D75"/>
    <w:rsid w:val="001479FF"/>
    <w:rsid w:val="00154307"/>
    <w:rsid w:val="00176E5E"/>
    <w:rsid w:val="001835AD"/>
    <w:rsid w:val="00184A41"/>
    <w:rsid w:val="00197481"/>
    <w:rsid w:val="001B069D"/>
    <w:rsid w:val="001B2F3D"/>
    <w:rsid w:val="001C299B"/>
    <w:rsid w:val="001D39A5"/>
    <w:rsid w:val="00207C03"/>
    <w:rsid w:val="00210ED0"/>
    <w:rsid w:val="00213753"/>
    <w:rsid w:val="002258AC"/>
    <w:rsid w:val="0022795F"/>
    <w:rsid w:val="002446BA"/>
    <w:rsid w:val="00256FFE"/>
    <w:rsid w:val="002610B1"/>
    <w:rsid w:val="00264D28"/>
    <w:rsid w:val="00275B0D"/>
    <w:rsid w:val="0028663D"/>
    <w:rsid w:val="002B3210"/>
    <w:rsid w:val="002B3D17"/>
    <w:rsid w:val="002B6299"/>
    <w:rsid w:val="002B6FEA"/>
    <w:rsid w:val="002C0C8E"/>
    <w:rsid w:val="002D6070"/>
    <w:rsid w:val="002D7409"/>
    <w:rsid w:val="002E1CAA"/>
    <w:rsid w:val="002F0981"/>
    <w:rsid w:val="002F6740"/>
    <w:rsid w:val="003154B5"/>
    <w:rsid w:val="00324907"/>
    <w:rsid w:val="00331A01"/>
    <w:rsid w:val="00332F76"/>
    <w:rsid w:val="0034731C"/>
    <w:rsid w:val="003507BF"/>
    <w:rsid w:val="003528D3"/>
    <w:rsid w:val="003641F9"/>
    <w:rsid w:val="00396FFA"/>
    <w:rsid w:val="003A181F"/>
    <w:rsid w:val="003A1AF5"/>
    <w:rsid w:val="003C4652"/>
    <w:rsid w:val="003D4277"/>
    <w:rsid w:val="003D5CAB"/>
    <w:rsid w:val="003F4CBD"/>
    <w:rsid w:val="003F7DE7"/>
    <w:rsid w:val="004007B7"/>
    <w:rsid w:val="0040335D"/>
    <w:rsid w:val="00406502"/>
    <w:rsid w:val="00423BD5"/>
    <w:rsid w:val="00443275"/>
    <w:rsid w:val="004542B5"/>
    <w:rsid w:val="00460060"/>
    <w:rsid w:val="00470623"/>
    <w:rsid w:val="0047253F"/>
    <w:rsid w:val="00487207"/>
    <w:rsid w:val="004A4C91"/>
    <w:rsid w:val="004B6903"/>
    <w:rsid w:val="004C3A57"/>
    <w:rsid w:val="004C451A"/>
    <w:rsid w:val="004D589B"/>
    <w:rsid w:val="004E2720"/>
    <w:rsid w:val="004F1512"/>
    <w:rsid w:val="005304C4"/>
    <w:rsid w:val="00571B3F"/>
    <w:rsid w:val="005822F2"/>
    <w:rsid w:val="005861A5"/>
    <w:rsid w:val="00586A14"/>
    <w:rsid w:val="00596B61"/>
    <w:rsid w:val="005C438E"/>
    <w:rsid w:val="005D18D8"/>
    <w:rsid w:val="005D7DD1"/>
    <w:rsid w:val="005E0C6E"/>
    <w:rsid w:val="005E6269"/>
    <w:rsid w:val="005F5FD7"/>
    <w:rsid w:val="00602D61"/>
    <w:rsid w:val="0060676B"/>
    <w:rsid w:val="00607687"/>
    <w:rsid w:val="006115A6"/>
    <w:rsid w:val="00621F38"/>
    <w:rsid w:val="0062655D"/>
    <w:rsid w:val="006429B2"/>
    <w:rsid w:val="00643F04"/>
    <w:rsid w:val="00647967"/>
    <w:rsid w:val="00647E9A"/>
    <w:rsid w:val="00654329"/>
    <w:rsid w:val="00665D7D"/>
    <w:rsid w:val="00692A5A"/>
    <w:rsid w:val="00693494"/>
    <w:rsid w:val="00695408"/>
    <w:rsid w:val="006A0601"/>
    <w:rsid w:val="006B011C"/>
    <w:rsid w:val="006B274C"/>
    <w:rsid w:val="006C2C2B"/>
    <w:rsid w:val="006D1A30"/>
    <w:rsid w:val="006E53B2"/>
    <w:rsid w:val="006F1BC0"/>
    <w:rsid w:val="006F5232"/>
    <w:rsid w:val="00702E19"/>
    <w:rsid w:val="00703085"/>
    <w:rsid w:val="00705528"/>
    <w:rsid w:val="00706A63"/>
    <w:rsid w:val="007124DB"/>
    <w:rsid w:val="00715B81"/>
    <w:rsid w:val="007344D3"/>
    <w:rsid w:val="00746E93"/>
    <w:rsid w:val="0077320F"/>
    <w:rsid w:val="00776C4C"/>
    <w:rsid w:val="007B6658"/>
    <w:rsid w:val="007C6D1A"/>
    <w:rsid w:val="007C75C9"/>
    <w:rsid w:val="007C7895"/>
    <w:rsid w:val="007D54EE"/>
    <w:rsid w:val="007E6319"/>
    <w:rsid w:val="007F6349"/>
    <w:rsid w:val="007F751A"/>
    <w:rsid w:val="007F7B6E"/>
    <w:rsid w:val="00804595"/>
    <w:rsid w:val="0081251B"/>
    <w:rsid w:val="0082193A"/>
    <w:rsid w:val="008353CF"/>
    <w:rsid w:val="00843860"/>
    <w:rsid w:val="008541E2"/>
    <w:rsid w:val="00862722"/>
    <w:rsid w:val="00862B80"/>
    <w:rsid w:val="00863E4A"/>
    <w:rsid w:val="00883632"/>
    <w:rsid w:val="008918B4"/>
    <w:rsid w:val="00895798"/>
    <w:rsid w:val="008B3C03"/>
    <w:rsid w:val="008C100F"/>
    <w:rsid w:val="008C3A1D"/>
    <w:rsid w:val="008C6BD9"/>
    <w:rsid w:val="008E26B0"/>
    <w:rsid w:val="00900EC3"/>
    <w:rsid w:val="00910920"/>
    <w:rsid w:val="0091415C"/>
    <w:rsid w:val="00933D9F"/>
    <w:rsid w:val="00941418"/>
    <w:rsid w:val="009618B3"/>
    <w:rsid w:val="00962F38"/>
    <w:rsid w:val="00973F7F"/>
    <w:rsid w:val="009828CF"/>
    <w:rsid w:val="009A6167"/>
    <w:rsid w:val="009C41D4"/>
    <w:rsid w:val="009D006F"/>
    <w:rsid w:val="009E7C5B"/>
    <w:rsid w:val="009F191C"/>
    <w:rsid w:val="00A03A23"/>
    <w:rsid w:val="00A0667F"/>
    <w:rsid w:val="00A13DB2"/>
    <w:rsid w:val="00A14AAE"/>
    <w:rsid w:val="00A14FC8"/>
    <w:rsid w:val="00A2266A"/>
    <w:rsid w:val="00A249C9"/>
    <w:rsid w:val="00A252EE"/>
    <w:rsid w:val="00A320EE"/>
    <w:rsid w:val="00A37AD3"/>
    <w:rsid w:val="00A46080"/>
    <w:rsid w:val="00A70EF6"/>
    <w:rsid w:val="00A73C60"/>
    <w:rsid w:val="00A76578"/>
    <w:rsid w:val="00A8406C"/>
    <w:rsid w:val="00A91872"/>
    <w:rsid w:val="00A935BE"/>
    <w:rsid w:val="00A9399B"/>
    <w:rsid w:val="00AA04AE"/>
    <w:rsid w:val="00AF2735"/>
    <w:rsid w:val="00AF414E"/>
    <w:rsid w:val="00B00E16"/>
    <w:rsid w:val="00B154A5"/>
    <w:rsid w:val="00B36666"/>
    <w:rsid w:val="00B41540"/>
    <w:rsid w:val="00B42E44"/>
    <w:rsid w:val="00B55C40"/>
    <w:rsid w:val="00B71FBF"/>
    <w:rsid w:val="00B87CDE"/>
    <w:rsid w:val="00B900E6"/>
    <w:rsid w:val="00BF1FB4"/>
    <w:rsid w:val="00BF32AF"/>
    <w:rsid w:val="00C03533"/>
    <w:rsid w:val="00C07D13"/>
    <w:rsid w:val="00C2030E"/>
    <w:rsid w:val="00C276CD"/>
    <w:rsid w:val="00C4203D"/>
    <w:rsid w:val="00C4280F"/>
    <w:rsid w:val="00C56465"/>
    <w:rsid w:val="00C80BCD"/>
    <w:rsid w:val="00C90780"/>
    <w:rsid w:val="00CA0619"/>
    <w:rsid w:val="00CB4B76"/>
    <w:rsid w:val="00CC4C75"/>
    <w:rsid w:val="00CC58E6"/>
    <w:rsid w:val="00CC7627"/>
    <w:rsid w:val="00CD5114"/>
    <w:rsid w:val="00CE2F18"/>
    <w:rsid w:val="00CE507A"/>
    <w:rsid w:val="00CF1F53"/>
    <w:rsid w:val="00CF57F9"/>
    <w:rsid w:val="00D00D0F"/>
    <w:rsid w:val="00D01920"/>
    <w:rsid w:val="00D05E12"/>
    <w:rsid w:val="00D06B40"/>
    <w:rsid w:val="00D34FCA"/>
    <w:rsid w:val="00D36C09"/>
    <w:rsid w:val="00D37E98"/>
    <w:rsid w:val="00D45D05"/>
    <w:rsid w:val="00D4707C"/>
    <w:rsid w:val="00D55B00"/>
    <w:rsid w:val="00D55BFB"/>
    <w:rsid w:val="00D5704B"/>
    <w:rsid w:val="00D57608"/>
    <w:rsid w:val="00D823FF"/>
    <w:rsid w:val="00D83127"/>
    <w:rsid w:val="00D92369"/>
    <w:rsid w:val="00D97837"/>
    <w:rsid w:val="00DA718B"/>
    <w:rsid w:val="00DC2646"/>
    <w:rsid w:val="00DF0EBC"/>
    <w:rsid w:val="00E04D81"/>
    <w:rsid w:val="00E1085F"/>
    <w:rsid w:val="00E21CB4"/>
    <w:rsid w:val="00E34D1E"/>
    <w:rsid w:val="00E67736"/>
    <w:rsid w:val="00E82A51"/>
    <w:rsid w:val="00E8467C"/>
    <w:rsid w:val="00EA380D"/>
    <w:rsid w:val="00EB35E2"/>
    <w:rsid w:val="00EC4115"/>
    <w:rsid w:val="00EC7A3A"/>
    <w:rsid w:val="00ED5716"/>
    <w:rsid w:val="00EE1E22"/>
    <w:rsid w:val="00EF2E24"/>
    <w:rsid w:val="00EF4696"/>
    <w:rsid w:val="00F249E2"/>
    <w:rsid w:val="00F40779"/>
    <w:rsid w:val="00F407BA"/>
    <w:rsid w:val="00F4577A"/>
    <w:rsid w:val="00F63AA6"/>
    <w:rsid w:val="00F76716"/>
    <w:rsid w:val="00F86F26"/>
    <w:rsid w:val="00F875D1"/>
    <w:rsid w:val="00F9032B"/>
    <w:rsid w:val="00F95FD7"/>
    <w:rsid w:val="00F97796"/>
    <w:rsid w:val="00FA2F8F"/>
    <w:rsid w:val="00FC00A0"/>
    <w:rsid w:val="00FC0FAB"/>
    <w:rsid w:val="00FD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8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822F2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622F-19D0-4910-A757-6BDA5C86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2967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102</cp:revision>
  <cp:lastPrinted>2017-06-08T23:28:00Z</cp:lastPrinted>
  <dcterms:created xsi:type="dcterms:W3CDTF">2017-06-08T01:34:00Z</dcterms:created>
  <dcterms:modified xsi:type="dcterms:W3CDTF">2021-03-15T11:18:00Z</dcterms:modified>
</cp:coreProperties>
</file>